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F788" w14:textId="72398752" w:rsidR="00FF7B67" w:rsidRDefault="00EC3CD1">
      <w:pPr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9591635" wp14:editId="24093B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52675" cy="762000"/>
            <wp:effectExtent l="0" t="0" r="9525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664C64D" wp14:editId="05766E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90788" cy="824289"/>
            <wp:effectExtent l="0" t="0" r="0" b="0"/>
            <wp:wrapTopAndBottom distT="114300" distB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824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25. novembra 2020</w:t>
      </w:r>
    </w:p>
    <w:p w14:paraId="6E62FF62" w14:textId="77777777" w:rsidR="00FF7B67" w:rsidRDefault="00FF7B67">
      <w:pPr>
        <w:spacing w:line="240" w:lineRule="auto"/>
      </w:pPr>
    </w:p>
    <w:p w14:paraId="66EC50C7" w14:textId="77777777" w:rsidR="00FF7B67" w:rsidRDefault="00EC3CD1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Hra </w:t>
      </w:r>
      <w:proofErr w:type="spellStart"/>
      <w:r>
        <w:rPr>
          <w:b/>
          <w:color w:val="0070C0"/>
          <w:sz w:val="28"/>
          <w:szCs w:val="28"/>
        </w:rPr>
        <w:t>Interland</w:t>
      </w:r>
      <w:proofErr w:type="spellEnd"/>
      <w:r>
        <w:rPr>
          <w:b/>
          <w:color w:val="0070C0"/>
          <w:sz w:val="28"/>
          <w:szCs w:val="28"/>
        </w:rPr>
        <w:t xml:space="preserve"> s podporou </w:t>
      </w:r>
      <w:proofErr w:type="spellStart"/>
      <w:r>
        <w:rPr>
          <w:b/>
          <w:color w:val="0070C0"/>
          <w:sz w:val="28"/>
          <w:szCs w:val="28"/>
        </w:rPr>
        <w:t>Teach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for</w:t>
      </w:r>
      <w:proofErr w:type="spellEnd"/>
      <w:r>
        <w:rPr>
          <w:b/>
          <w:color w:val="0070C0"/>
          <w:sz w:val="28"/>
          <w:szCs w:val="28"/>
        </w:rPr>
        <w:t xml:space="preserve"> Slovakia učí deti používať internet bezpečne</w:t>
      </w:r>
    </w:p>
    <w:p w14:paraId="12E3DE01" w14:textId="77777777" w:rsidR="00FF7B67" w:rsidRDefault="00FF7B67"/>
    <w:p w14:paraId="4AC87B91" w14:textId="77777777" w:rsidR="00FF7B67" w:rsidRDefault="00EC3CD1">
      <w:pPr>
        <w:jc w:val="both"/>
        <w:rPr>
          <w:b/>
        </w:rPr>
      </w:pPr>
      <w:r>
        <w:rPr>
          <w:b/>
        </w:rPr>
        <w:t xml:space="preserve">Spoločnosť Google sprístupňuje slovenským deťom online hru </w:t>
      </w:r>
      <w:proofErr w:type="spellStart"/>
      <w:r>
        <w:rPr>
          <w:b/>
        </w:rPr>
        <w:t>Interland</w:t>
      </w:r>
      <w:proofErr w:type="spellEnd"/>
      <w:r>
        <w:rPr>
          <w:b/>
        </w:rPr>
        <w:t xml:space="preserve">, na ktorej šírení sa bude podieľať aj program </w:t>
      </w:r>
      <w:proofErr w:type="spellStart"/>
      <w:r>
        <w:rPr>
          <w:b/>
        </w:rPr>
        <w:t>Teach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Slovakia. Táto bezplatná online hra, ktorá je teraz dostupná už aj v slovenskom jazyku, sa snaží deťom zábavnou formou priblížiť zá</w:t>
      </w:r>
      <w:r>
        <w:rPr>
          <w:b/>
        </w:rPr>
        <w:t xml:space="preserve">klady bezpečného správania sa na internete. Google s podporou </w:t>
      </w:r>
      <w:proofErr w:type="spellStart"/>
      <w:r>
        <w:rPr>
          <w:b/>
        </w:rPr>
        <w:t>Teach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Slovakia bude zvyšovať povedomie o digitálnej bezpečnosti medzi žiakmi v dobe, kedy čas detí strávený online dramaticky rastie v dôsledku pandémie </w:t>
      </w:r>
      <w:proofErr w:type="spellStart"/>
      <w:r>
        <w:rPr>
          <w:b/>
        </w:rPr>
        <w:t>koronavírusu</w:t>
      </w:r>
      <w:proofErr w:type="spellEnd"/>
      <w:r>
        <w:rPr>
          <w:b/>
        </w:rPr>
        <w:t xml:space="preserve">. </w:t>
      </w:r>
    </w:p>
    <w:p w14:paraId="08395427" w14:textId="77777777" w:rsidR="00FF7B67" w:rsidRDefault="00FF7B67">
      <w:pPr>
        <w:jc w:val="both"/>
      </w:pPr>
    </w:p>
    <w:p w14:paraId="1A5E13EB" w14:textId="77777777" w:rsidR="00FF7B67" w:rsidRDefault="00EC3CD1">
      <w:pPr>
        <w:jc w:val="both"/>
      </w:pPr>
      <w:r>
        <w:t>Náročné obdobie, ktor</w:t>
      </w:r>
      <w:r>
        <w:t>é nás všetkých tento rok zastihlo, pritiahlo k internetu mnoho nových používateľov, vrátane tých detských. Podľa analýzy Inštitútu vzdelávacej politiky sa k online výučbe pripojilo 81 percent celej žiackej populácie, pričom na jar 2020 internet vôbec nepou</w:t>
      </w:r>
      <w:r>
        <w:t xml:space="preserve">žívala </w:t>
      </w:r>
      <w:hyperlink r:id="rId8">
        <w:r>
          <w:rPr>
            <w:color w:val="1155CC"/>
            <w:u w:val="single"/>
          </w:rPr>
          <w:t>polovica žiakov</w:t>
        </w:r>
      </w:hyperlink>
      <w:r>
        <w:rPr>
          <w:vertAlign w:val="superscript"/>
        </w:rPr>
        <w:footnoteReference w:id="1"/>
      </w:r>
      <w:r>
        <w:t xml:space="preserve"> na základných školách. Deti bez povedomia o digitálnej bezpečnosti, ktoré sa na internet začali pripájať len nedávno a neprešli si pred</w:t>
      </w:r>
      <w:r>
        <w:t xml:space="preserve">tým prípravou v škole alebo doma s rodičmi, sú pritom najzraniteľnejšie. Okrem všeobecných zručností pri ovládaní počítača však treba myslieť aj na kvalitu digitálnych zručností. Na Slovensku má </w:t>
      </w:r>
      <w:hyperlink r:id="rId9">
        <w:r>
          <w:rPr>
            <w:color w:val="1155CC"/>
            <w:u w:val="single"/>
          </w:rPr>
          <w:t>základné digitálne zručnosti</w:t>
        </w:r>
      </w:hyperlink>
      <w:r>
        <w:t xml:space="preserve"> len 55 % populácie</w:t>
      </w:r>
      <w:r>
        <w:rPr>
          <w:vertAlign w:val="superscript"/>
        </w:rPr>
        <w:footnoteReference w:id="2"/>
      </w:r>
      <w:r>
        <w:t>, čo je pod priemerom krajín Európskej únie. Problém je ešte výraznejší v našich školách, kde chýbajú kvalifikovaní učitelia informatiky.</w:t>
      </w:r>
    </w:p>
    <w:p w14:paraId="262ED73E" w14:textId="77777777" w:rsidR="00FF7B67" w:rsidRDefault="00FF7B67">
      <w:pPr>
        <w:jc w:val="both"/>
      </w:pPr>
    </w:p>
    <w:p w14:paraId="6E043A31" w14:textId="77777777" w:rsidR="00FF7B67" w:rsidRDefault="00EC3CD1">
      <w:pPr>
        <w:jc w:val="both"/>
      </w:pPr>
      <w:r>
        <w:rPr>
          <w:i/>
        </w:rPr>
        <w:t>„Počas prvej a momentálne aj druh</w:t>
      </w:r>
      <w:r>
        <w:rPr>
          <w:i/>
        </w:rPr>
        <w:t xml:space="preserve">ej vlny pandémie sledujeme zvýšené využívanie internetu u detí. Sme radi, že hru </w:t>
      </w:r>
      <w:proofErr w:type="spellStart"/>
      <w:r>
        <w:rPr>
          <w:i/>
        </w:rPr>
        <w:t>Interland</w:t>
      </w:r>
      <w:proofErr w:type="spellEnd"/>
      <w:r>
        <w:rPr>
          <w:i/>
        </w:rPr>
        <w:t xml:space="preserve"> po skúsenostiach zo zahraničia môžeme sprístupniť aj slovenským deťom. Je nesmierne dôležité začať deti viesť k bezpečnému a zodpovednému správaniu sa na internete č</w:t>
      </w:r>
      <w:r>
        <w:rPr>
          <w:i/>
        </w:rPr>
        <w:t xml:space="preserve">o najskôr. Cieľom hry je deti naučiť bezpečne sa pohybovať v anonymnom prostredí internetu a jednoducho ich oboznámiť s možnými nástrahami či ako sa voči nim chrániť zábavnou a nenásilnou formou,“ </w:t>
      </w:r>
      <w:r>
        <w:t xml:space="preserve">približuje </w:t>
      </w:r>
      <w:r>
        <w:rPr>
          <w:b/>
        </w:rPr>
        <w:t>Ingrid Popovič</w:t>
      </w:r>
      <w:r>
        <w:t>, marketingová manažérka pre produ</w:t>
      </w:r>
      <w:r>
        <w:t>kty spoločnosti Google na slovenskom, českom a maďarskom trhu.</w:t>
      </w:r>
    </w:p>
    <w:p w14:paraId="33394D62" w14:textId="77777777" w:rsidR="00FF7B67" w:rsidRDefault="00FF7B67">
      <w:pPr>
        <w:jc w:val="both"/>
      </w:pPr>
    </w:p>
    <w:p w14:paraId="385A6B83" w14:textId="77777777" w:rsidR="00FF7B67" w:rsidRDefault="00EC3CD1">
      <w:pPr>
        <w:jc w:val="both"/>
      </w:pPr>
      <w:r>
        <w:t xml:space="preserve">Dobrodružná hra </w:t>
      </w:r>
      <w:hyperlink r:id="rId10">
        <w:proofErr w:type="spellStart"/>
        <w:r>
          <w:rPr>
            <w:color w:val="1155CC"/>
            <w:u w:val="single"/>
          </w:rPr>
          <w:t>Interland</w:t>
        </w:r>
        <w:proofErr w:type="spellEnd"/>
      </w:hyperlink>
      <w:r>
        <w:t xml:space="preserve"> je určená deťom školského veku od 7 do 12 rokov. Na jej spustenie stačí len internetový pr</w:t>
      </w:r>
      <w:r>
        <w:t xml:space="preserve">ehliadač a pozostáva zo štyroch základných lekcií, pričom každá z nich je akousi </w:t>
      </w:r>
      <w:proofErr w:type="spellStart"/>
      <w:r>
        <w:t>minihrou</w:t>
      </w:r>
      <w:proofErr w:type="spellEnd"/>
      <w:r>
        <w:t xml:space="preserve">. Deti postupne prechádzajú celou hrou  a stávajú sa „internetovými hrdinami“. Počas svojej cesty sa postupne naučia, ako si poradiť s hackermi, </w:t>
      </w:r>
      <w:proofErr w:type="spellStart"/>
      <w:r>
        <w:t>phishermi</w:t>
      </w:r>
      <w:proofErr w:type="spellEnd"/>
      <w:r>
        <w:t xml:space="preserve">, </w:t>
      </w:r>
      <w:proofErr w:type="spellStart"/>
      <w:r>
        <w:t>kyberšikano</w:t>
      </w:r>
      <w:r>
        <w:t>u</w:t>
      </w:r>
      <w:proofErr w:type="spellEnd"/>
      <w:r>
        <w:t xml:space="preserve"> alebo zdieľaním informácií na sociálnych sieťach.</w:t>
      </w:r>
    </w:p>
    <w:p w14:paraId="7FDB624B" w14:textId="77777777" w:rsidR="00FF7B67" w:rsidRDefault="00FF7B67"/>
    <w:p w14:paraId="1E56D20E" w14:textId="77777777" w:rsidR="00FF7B67" w:rsidRDefault="00EC3CD1">
      <w:pPr>
        <w:jc w:val="both"/>
      </w:pPr>
      <w:r>
        <w:t xml:space="preserve">Už pred pandémiou COVID-19 bolo používanie digitálnych technológií u detí spojené s rôznymi problémami. Napríklad len </w:t>
      </w:r>
      <w:proofErr w:type="spellStart"/>
      <w:r>
        <w:t>kyberšikanou</w:t>
      </w:r>
      <w:proofErr w:type="spellEnd"/>
      <w:r>
        <w:t xml:space="preserve"> je podľa prieskumu ESPAD 2019 ohrozených 6,7% slovenských študentov (6% </w:t>
      </w:r>
      <w:r>
        <w:t xml:space="preserve">chlapcov a 7,1% dievčat). Tieto čísla sú pravdepodobne ešte vyššie, keď sa väčšina sociálnej interakcie (a teda aj klasickej šikany) v </w:t>
      </w:r>
      <w:r>
        <w:lastRenderedPageBreak/>
        <w:t>čase pandémie presúva do virtuálneho priestoru. Týka sa to samozrejme aj ďalších problémov ako sledovanie nevhodného obsa</w:t>
      </w:r>
      <w:r>
        <w:t xml:space="preserve">hu, bezpečnostné riziká (online predátori, ochrana osobných údajov, phishing, </w:t>
      </w:r>
      <w:proofErr w:type="spellStart"/>
      <w:r>
        <w:t>hacking</w:t>
      </w:r>
      <w:proofErr w:type="spellEnd"/>
      <w:r>
        <w:t xml:space="preserve">  a pod.) a ďalších digitálnych hrozieb. </w:t>
      </w:r>
    </w:p>
    <w:p w14:paraId="03C531D7" w14:textId="77777777" w:rsidR="00FF7B67" w:rsidRDefault="00FF7B67">
      <w:pPr>
        <w:jc w:val="both"/>
      </w:pPr>
    </w:p>
    <w:p w14:paraId="3F15B4E9" w14:textId="77777777" w:rsidR="00FF7B67" w:rsidRDefault="00EC3CD1">
      <w:pPr>
        <w:jc w:val="both"/>
      </w:pPr>
      <w:r>
        <w:rPr>
          <w:i/>
        </w:rPr>
        <w:t xml:space="preserve">„Pri prevencii a predchádzaní novodobým problémom súvisiacim s využívaním digitálnych technológií zohrávajú kľúčovú rolu školy. </w:t>
      </w:r>
      <w:r>
        <w:rPr>
          <w:i/>
        </w:rPr>
        <w:t>V 21. storočí ich rola spočíva najmä v tom, že by mali deti naučiť pracovať s technológiami bezpečne a rozumne. Školy by sa mali oveľa viac venovať tomu, ako predchádzať problematickému správaniu na internete, čo je bezpečné a čo už môže byť dieťaťu škodli</w:t>
      </w:r>
      <w:r>
        <w:rPr>
          <w:i/>
        </w:rPr>
        <w:t xml:space="preserve">vé. Na druhej strane by mali viesť deti k obsahu, ktorý je pre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prínosný. Každá iniciatíva, ktorá v tejto oblasti pomôže učiteľom a aj žiakom zvládnuť novodobé výzvy týkajúce sa online prostredia znamená, že učitelia budú odborne zdatnejší a žiaci oveľa </w:t>
      </w:r>
      <w:r>
        <w:rPr>
          <w:i/>
        </w:rPr>
        <w:t xml:space="preserve">viac pripravení vykročiť do sveta 21. storočia,“ </w:t>
      </w:r>
      <w:r>
        <w:t xml:space="preserve">hovorí </w:t>
      </w:r>
      <w:r>
        <w:rPr>
          <w:b/>
        </w:rPr>
        <w:t xml:space="preserve">Michal </w:t>
      </w:r>
      <w:proofErr w:type="spellStart"/>
      <w:r>
        <w:rPr>
          <w:b/>
        </w:rPr>
        <w:t>Božík</w:t>
      </w:r>
      <w:proofErr w:type="spellEnd"/>
      <w:r>
        <w:t>, psychológ a výskumný pracovník z Výskumného ústavu detskej psychológie a patopsychológie.</w:t>
      </w:r>
    </w:p>
    <w:p w14:paraId="3ECA2423" w14:textId="77777777" w:rsidR="00FF7B67" w:rsidRDefault="00FF7B67">
      <w:pPr>
        <w:rPr>
          <w:b/>
        </w:rPr>
      </w:pPr>
    </w:p>
    <w:p w14:paraId="6BD93638" w14:textId="77777777" w:rsidR="00FF7B67" w:rsidRDefault="00EC3CD1">
      <w:r>
        <w:rPr>
          <w:b/>
        </w:rPr>
        <w:t xml:space="preserve">Google.org grant pre </w:t>
      </w:r>
      <w:proofErr w:type="spellStart"/>
      <w:r>
        <w:rPr>
          <w:b/>
        </w:rPr>
        <w:t>Teach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Slovakia</w:t>
      </w:r>
      <w:r>
        <w:t xml:space="preserve"> </w:t>
      </w:r>
    </w:p>
    <w:p w14:paraId="0701E494" w14:textId="77777777" w:rsidR="00FF7B67" w:rsidRDefault="00FF7B67"/>
    <w:p w14:paraId="6EAABA55" w14:textId="77777777" w:rsidR="00FF7B67" w:rsidRDefault="00EC3CD1">
      <w:pPr>
        <w:jc w:val="both"/>
      </w:pPr>
      <w:r>
        <w:t xml:space="preserve">Podpora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Slovakia pri šírení hry </w:t>
      </w:r>
      <w:proofErr w:type="spellStart"/>
      <w:r>
        <w:t>Interland</w:t>
      </w:r>
      <w:proofErr w:type="spellEnd"/>
      <w:r>
        <w:t xml:space="preserve"> m</w:t>
      </w:r>
      <w:r>
        <w:t xml:space="preserve">edzi deťmi na školách je súčasťou omnoho rozsiahlejšieho projektu Informatika 2.0. Jeho cieľom je komplexné vytvorenie bezplatných online učebných materiálov pre oblasť digitálnej gramotnosti. Program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Slovakia na tento projekt získal prostredníct</w:t>
      </w:r>
      <w:r>
        <w:t>vom filantropickej odnože Google.org finančný grant. Získané finančné prostriedky z grantu využije na podporu digitálnej gramotnosti medzi žiakmi na Slovensku z rôznych sociálnych pomerov. Špeciálnu pozornosť venuje tým komunitám, ktoré majú obmedzený prís</w:t>
      </w:r>
      <w:r>
        <w:t>tup k zdrojom digitálnej gramotnosti.</w:t>
      </w:r>
    </w:p>
    <w:p w14:paraId="26BB5467" w14:textId="77777777" w:rsidR="00FF7B67" w:rsidRDefault="00FF7B67"/>
    <w:p w14:paraId="7BA1C144" w14:textId="77777777" w:rsidR="00FF7B67" w:rsidRDefault="00EC3CD1">
      <w:pPr>
        <w:jc w:val="both"/>
      </w:pPr>
      <w:r>
        <w:rPr>
          <w:i/>
        </w:rPr>
        <w:t>„Náš projekt Informatika 2.0 vznikol ako reakcia na alarmujúcu situáciu vo výučbe informatiky na slovenských školách. Chýbajú učitelia aj podpora pre kvalitné vyučovanie informatiky,“</w:t>
      </w:r>
      <w:r>
        <w:t xml:space="preserve"> hovorí Angelika </w:t>
      </w:r>
      <w:proofErr w:type="spellStart"/>
      <w:r>
        <w:t>Fogášová</w:t>
      </w:r>
      <w:proofErr w:type="spellEnd"/>
      <w:r>
        <w:t xml:space="preserve"> z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Slovakia, jedna z autoriek projektu Informatika 2.0.</w:t>
      </w:r>
    </w:p>
    <w:p w14:paraId="07804358" w14:textId="77777777" w:rsidR="00FF7B67" w:rsidRDefault="00FF7B67"/>
    <w:p w14:paraId="5EA44156" w14:textId="77777777" w:rsidR="00FF7B67" w:rsidRDefault="00EC3CD1">
      <w:pPr>
        <w:jc w:val="both"/>
      </w:pPr>
      <w:proofErr w:type="spellStart"/>
      <w:r>
        <w:t>Teach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Slovakia chce týmito aktivitami zvrátiť nepriaznivý stav na Slovensku. V takmer polovici</w:t>
      </w:r>
      <w:r>
        <w:rPr>
          <w:vertAlign w:val="superscript"/>
        </w:rPr>
        <w:footnoteReference w:id="3"/>
      </w:r>
      <w:r>
        <w:t xml:space="preserve"> základných škôl na Slovensku vyučujú informatiku učitelia bez formálneho vzdelania v tejto oblasti, bez súčasnej metodiky a bez toho, že by tu boli dostupné zdroje pre učiteľov v slovenskom jazyku. Vytvorené učebné materiály budú k dispozícii vyše 800 uči</w:t>
      </w:r>
      <w:r>
        <w:t xml:space="preserve">teľom po celom Slovensku s nepriamym dosahom až na 50-tisíc žiakov.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Slovakia bude čerpať grant do januára 2022.</w:t>
      </w:r>
    </w:p>
    <w:p w14:paraId="5E6B6D30" w14:textId="77777777" w:rsidR="00FF7B67" w:rsidRDefault="00FF7B67">
      <w:pPr>
        <w:spacing w:line="240" w:lineRule="auto"/>
        <w:rPr>
          <w:sz w:val="20"/>
          <w:szCs w:val="20"/>
        </w:rPr>
      </w:pPr>
    </w:p>
    <w:p w14:paraId="5A48A852" w14:textId="77777777" w:rsidR="00FF7B67" w:rsidRDefault="00EC3CD1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- KONIEC -</w:t>
      </w:r>
    </w:p>
    <w:p w14:paraId="306E427C" w14:textId="77777777" w:rsidR="00FF7B67" w:rsidRDefault="00FF7B67">
      <w:pPr>
        <w:spacing w:line="240" w:lineRule="auto"/>
        <w:rPr>
          <w:b/>
          <w:color w:val="000000"/>
        </w:rPr>
      </w:pPr>
    </w:p>
    <w:p w14:paraId="10F949B8" w14:textId="77777777" w:rsidR="00FF7B67" w:rsidRDefault="00EC3CD1">
      <w:pPr>
        <w:spacing w:line="240" w:lineRule="auto"/>
        <w:jc w:val="both"/>
      </w:pPr>
      <w:r>
        <w:rPr>
          <w:b/>
          <w:sz w:val="20"/>
          <w:szCs w:val="20"/>
        </w:rPr>
        <w:t xml:space="preserve">O spoločnosti Google </w:t>
      </w:r>
      <w:proofErr w:type="spellStart"/>
      <w:r>
        <w:rPr>
          <w:b/>
          <w:sz w:val="20"/>
          <w:szCs w:val="20"/>
        </w:rPr>
        <w:t>Inc</w:t>
      </w:r>
      <w:proofErr w:type="spellEnd"/>
      <w:r>
        <w:rPr>
          <w:b/>
          <w:sz w:val="20"/>
          <w:szCs w:val="20"/>
        </w:rPr>
        <w:t>.</w:t>
      </w:r>
    </w:p>
    <w:p w14:paraId="468DD3F0" w14:textId="77777777" w:rsidR="00FF7B67" w:rsidRDefault="00EC3CD1">
      <w:pPr>
        <w:spacing w:line="240" w:lineRule="auto"/>
        <w:jc w:val="both"/>
      </w:pPr>
      <w:r>
        <w:rPr>
          <w:sz w:val="20"/>
          <w:szCs w:val="20"/>
        </w:rPr>
        <w:t>Spoločnosť Google sa ako globálny technologický líder snaží neustále vylepšovať spôsob prepájan</w:t>
      </w:r>
      <w:r>
        <w:rPr>
          <w:sz w:val="20"/>
          <w:szCs w:val="20"/>
        </w:rPr>
        <w:t>ia ľudí s informáciami. Inovácie Googlu v oblasti vyhľadávania a reklamy umožnili spoločnosti získať vedúcu pozíciu na internete a vytvoriť jednu z najznámejších svetových značiek.</w:t>
      </w:r>
    </w:p>
    <w:p w14:paraId="4A086B97" w14:textId="77777777" w:rsidR="00FF7B67" w:rsidRDefault="00FF7B67">
      <w:pPr>
        <w:spacing w:line="240" w:lineRule="auto"/>
        <w:jc w:val="both"/>
      </w:pPr>
    </w:p>
    <w:p w14:paraId="40144BAF" w14:textId="77777777" w:rsidR="00FF7B67" w:rsidRDefault="00EC3CD1">
      <w:pPr>
        <w:spacing w:line="240" w:lineRule="auto"/>
        <w:jc w:val="both"/>
      </w:pPr>
      <w:r>
        <w:rPr>
          <w:sz w:val="20"/>
          <w:szCs w:val="20"/>
        </w:rPr>
        <w:t># # #</w:t>
      </w:r>
    </w:p>
    <w:p w14:paraId="65A84B85" w14:textId="77777777" w:rsidR="00FF7B67" w:rsidRDefault="00EC3CD1">
      <w:pPr>
        <w:spacing w:line="240" w:lineRule="auto"/>
        <w:jc w:val="both"/>
      </w:pPr>
      <w:r>
        <w:rPr>
          <w:sz w:val="20"/>
          <w:szCs w:val="20"/>
        </w:rPr>
        <w:t xml:space="preserve">Google je ochranná známka spoločnosti Google </w:t>
      </w:r>
      <w:proofErr w:type="spellStart"/>
      <w:r>
        <w:rPr>
          <w:sz w:val="20"/>
          <w:szCs w:val="20"/>
        </w:rPr>
        <w:t>Inc</w:t>
      </w:r>
      <w:proofErr w:type="spellEnd"/>
      <w:r>
        <w:rPr>
          <w:sz w:val="20"/>
          <w:szCs w:val="20"/>
        </w:rPr>
        <w:t>. Všetky ďalšie názv</w:t>
      </w:r>
      <w:r>
        <w:rPr>
          <w:sz w:val="20"/>
          <w:szCs w:val="20"/>
        </w:rPr>
        <w:t>y spoločností a produktov môžu byť ochrannými známkami príslušných spoločností, s ktorými sú asociované.</w:t>
      </w:r>
    </w:p>
    <w:p w14:paraId="04660A15" w14:textId="77777777" w:rsidR="00FF7B67" w:rsidRDefault="00FF7B67">
      <w:pPr>
        <w:jc w:val="both"/>
        <w:rPr>
          <w:sz w:val="20"/>
          <w:szCs w:val="20"/>
        </w:rPr>
      </w:pPr>
    </w:p>
    <w:p w14:paraId="599D7628" w14:textId="77777777" w:rsidR="00FF7B67" w:rsidRDefault="00EC3C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 </w:t>
      </w:r>
      <w:proofErr w:type="spellStart"/>
      <w:r>
        <w:rPr>
          <w:b/>
          <w:sz w:val="20"/>
          <w:szCs w:val="20"/>
        </w:rPr>
        <w:t>Teach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for</w:t>
      </w:r>
      <w:proofErr w:type="spellEnd"/>
      <w:r>
        <w:rPr>
          <w:b/>
          <w:sz w:val="20"/>
          <w:szCs w:val="20"/>
        </w:rPr>
        <w:t xml:space="preserve"> Slovakia</w:t>
      </w:r>
    </w:p>
    <w:p w14:paraId="08CAD505" w14:textId="77777777" w:rsidR="00FF7B67" w:rsidRDefault="00EC3CD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Teach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Slovakia je súčasťou medzinárodnej siete </w:t>
      </w:r>
      <w:proofErr w:type="spellStart"/>
      <w:r>
        <w:rPr>
          <w:sz w:val="20"/>
          <w:szCs w:val="20"/>
        </w:rPr>
        <w:t>Teach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All, pôsobiacej v 50 krajinách sveta, zameriavajúcej sa na systémovú</w:t>
      </w:r>
      <w:r>
        <w:rPr>
          <w:sz w:val="20"/>
          <w:szCs w:val="20"/>
        </w:rPr>
        <w:t xml:space="preserve"> zmenu vo vzdelávaní s dôrazom na zlepšenie situácie žiakov zo znevýhodnených prostredí. Na Slovensku pôsobí od roku 2014.</w:t>
      </w:r>
    </w:p>
    <w:p w14:paraId="685AD74A" w14:textId="77777777" w:rsidR="00FF7B67" w:rsidRDefault="00FF7B67">
      <w:pPr>
        <w:jc w:val="both"/>
        <w:rPr>
          <w:sz w:val="20"/>
          <w:szCs w:val="20"/>
        </w:rPr>
      </w:pPr>
    </w:p>
    <w:p w14:paraId="00020DC0" w14:textId="77777777" w:rsidR="00FF7B67" w:rsidRDefault="00EC3C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Cieľom programu je prispieť k zlepšeniu celého školstva a úrovne vzdelania všetkých detí. Model </w:t>
      </w:r>
      <w:proofErr w:type="spellStart"/>
      <w:r>
        <w:rPr>
          <w:sz w:val="20"/>
          <w:szCs w:val="20"/>
        </w:rPr>
        <w:t>Teach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All túto zmenu chce dosiah</w:t>
      </w:r>
      <w:r>
        <w:rPr>
          <w:sz w:val="20"/>
          <w:szCs w:val="20"/>
        </w:rPr>
        <w:t>nuť tým, že priťahuje do školstva výnimočných mladých ľudí a pripravuje ich na dlhodobú životnú dráhu, aby prevzali a potom zvládli náročné role v systéme školstva, cez ktoré je možné realizovať systémovú zmenu.</w:t>
      </w:r>
    </w:p>
    <w:p w14:paraId="69D62663" w14:textId="77777777" w:rsidR="00FF7B67" w:rsidRDefault="00FF7B67">
      <w:pPr>
        <w:jc w:val="both"/>
        <w:rPr>
          <w:sz w:val="20"/>
          <w:szCs w:val="20"/>
        </w:rPr>
      </w:pPr>
    </w:p>
    <w:p w14:paraId="578B812D" w14:textId="77777777" w:rsidR="00FF7B67" w:rsidRDefault="00EC3C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 projekte Informatika 2.0</w:t>
      </w:r>
    </w:p>
    <w:p w14:paraId="1DE7818D" w14:textId="77777777" w:rsidR="00FF7B67" w:rsidRDefault="00EC3CD1">
      <w:pPr>
        <w:jc w:val="both"/>
        <w:rPr>
          <w:i/>
          <w:color w:val="FF0000"/>
          <w:sz w:val="18"/>
          <w:szCs w:val="18"/>
          <w:shd w:val="clear" w:color="auto" w:fill="EFEFEF"/>
        </w:rPr>
      </w:pPr>
      <w:r>
        <w:rPr>
          <w:sz w:val="20"/>
          <w:szCs w:val="20"/>
        </w:rPr>
        <w:t>Projekt Informat</w:t>
      </w:r>
      <w:r>
        <w:rPr>
          <w:sz w:val="20"/>
          <w:szCs w:val="20"/>
        </w:rPr>
        <w:t>ika 2.0 chce byť podporou pre všetkých učiteľov informatiky. Vytvára vzdelávacie materiály s ohľadom na vzdelávací program ministerstva školstva. Materiály budú dostupné zadarmo a prevedú deti a učiteľov každou jednou hodinou na základnej škole od prvej až</w:t>
      </w:r>
      <w:r>
        <w:rPr>
          <w:sz w:val="20"/>
          <w:szCs w:val="20"/>
        </w:rPr>
        <w:t xml:space="preserve"> po poslednú minútu. Pomôže tak vyučovať informatiku kvalitne a efektívnejšie aj učiteľom, ktorým chýba kvalifikácia v tomto predmete. Cieľom projektu je dať všetkým deťom šancu rozvíjať svoje digitálne zručnosti, bez ktorých sa v budúcnosti nezaobídu. Aut</w:t>
      </w:r>
      <w:r>
        <w:rPr>
          <w:sz w:val="20"/>
          <w:szCs w:val="20"/>
        </w:rPr>
        <w:t xml:space="preserve">ormi projektu sú Angelika </w:t>
      </w:r>
      <w:proofErr w:type="spellStart"/>
      <w:r>
        <w:rPr>
          <w:sz w:val="20"/>
          <w:szCs w:val="20"/>
        </w:rPr>
        <w:t>Fogášová</w:t>
      </w:r>
      <w:proofErr w:type="spellEnd"/>
      <w:r>
        <w:rPr>
          <w:sz w:val="20"/>
          <w:szCs w:val="20"/>
        </w:rPr>
        <w:t xml:space="preserve"> a Jano Horváth z </w:t>
      </w:r>
      <w:proofErr w:type="spellStart"/>
      <w:r>
        <w:rPr>
          <w:sz w:val="20"/>
          <w:szCs w:val="20"/>
        </w:rPr>
        <w:t>Teach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Slovakia.</w:t>
      </w:r>
    </w:p>
    <w:p w14:paraId="5561CEC5" w14:textId="77777777" w:rsidR="00FF7B67" w:rsidRDefault="00FF7B67">
      <w:pPr>
        <w:spacing w:line="240" w:lineRule="auto"/>
        <w:jc w:val="both"/>
        <w:rPr>
          <w:sz w:val="20"/>
          <w:szCs w:val="20"/>
        </w:rPr>
      </w:pPr>
    </w:p>
    <w:p w14:paraId="24463F86" w14:textId="77777777" w:rsidR="00FF7B67" w:rsidRDefault="00EC3CD1">
      <w:pPr>
        <w:spacing w:line="240" w:lineRule="auto"/>
        <w:jc w:val="both"/>
      </w:pPr>
      <w:r>
        <w:rPr>
          <w:b/>
          <w:sz w:val="20"/>
          <w:szCs w:val="20"/>
        </w:rPr>
        <w:t>V prípade záujmu o ďalšie tlačové informácie a materiály, prosím, kontaktujte:</w:t>
      </w:r>
    </w:p>
    <w:p w14:paraId="35FFB6FF" w14:textId="77777777" w:rsidR="00FF7B67" w:rsidRDefault="00FF7B67">
      <w:pPr>
        <w:spacing w:line="240" w:lineRule="auto"/>
        <w:jc w:val="both"/>
      </w:pPr>
    </w:p>
    <w:p w14:paraId="2E1C1AC5" w14:textId="77777777" w:rsidR="00FF7B67" w:rsidRDefault="00EC3CD1">
      <w:pPr>
        <w:spacing w:line="240" w:lineRule="auto"/>
      </w:pPr>
      <w:r>
        <w:rPr>
          <w:sz w:val="20"/>
          <w:szCs w:val="20"/>
        </w:rPr>
        <w:t>Grayling Slovakia</w:t>
      </w:r>
    </w:p>
    <w:p w14:paraId="073BD202" w14:textId="77777777" w:rsidR="00FF7B67" w:rsidRDefault="00EC3CD1">
      <w:pPr>
        <w:spacing w:line="240" w:lineRule="auto"/>
      </w:pPr>
      <w:proofErr w:type="spellStart"/>
      <w:r>
        <w:rPr>
          <w:sz w:val="20"/>
          <w:szCs w:val="20"/>
        </w:rPr>
        <w:t>Daša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Paulíčková</w:t>
      </w:r>
      <w:proofErr w:type="spellEnd"/>
    </w:p>
    <w:p w14:paraId="1CF4536C" w14:textId="77777777" w:rsidR="00FF7B67" w:rsidRDefault="00EC3CD1">
      <w:pPr>
        <w:spacing w:line="240" w:lineRule="auto"/>
      </w:pPr>
      <w:r>
        <w:rPr>
          <w:sz w:val="20"/>
          <w:szCs w:val="20"/>
        </w:rPr>
        <w:t>Palisády 36, 811 06 Bratislava</w:t>
      </w:r>
    </w:p>
    <w:p w14:paraId="64310EA7" w14:textId="77777777" w:rsidR="00FF7B67" w:rsidRDefault="00EC3CD1">
      <w:pPr>
        <w:spacing w:line="240" w:lineRule="auto"/>
      </w:pPr>
      <w:r>
        <w:rPr>
          <w:sz w:val="20"/>
          <w:szCs w:val="20"/>
        </w:rPr>
        <w:t>Tel.: +421 2 5920 1405</w:t>
      </w:r>
    </w:p>
    <w:p w14:paraId="490C1441" w14:textId="77777777" w:rsidR="00FF7B67" w:rsidRDefault="00EC3CD1">
      <w:pPr>
        <w:spacing w:line="240" w:lineRule="auto"/>
        <w:jc w:val="both"/>
      </w:pPr>
      <w:r>
        <w:rPr>
          <w:sz w:val="20"/>
          <w:szCs w:val="20"/>
        </w:rPr>
        <w:t xml:space="preserve">E-mail: </w:t>
      </w:r>
      <w:r>
        <w:rPr>
          <w:color w:val="0000FF"/>
          <w:sz w:val="20"/>
          <w:szCs w:val="20"/>
          <w:u w:val="single"/>
        </w:rPr>
        <w:t>google_</w:t>
      </w:r>
      <w:r>
        <w:rPr>
          <w:color w:val="0000FF"/>
          <w:sz w:val="20"/>
          <w:szCs w:val="20"/>
          <w:u w:val="single"/>
        </w:rPr>
        <w:t>sk@grayling.com</w:t>
      </w:r>
    </w:p>
    <w:p w14:paraId="6F71D78E" w14:textId="77777777" w:rsidR="00FF7B67" w:rsidRDefault="00FF7B67">
      <w:pPr>
        <w:spacing w:line="240" w:lineRule="auto"/>
        <w:jc w:val="both"/>
      </w:pPr>
    </w:p>
    <w:p w14:paraId="7D674989" w14:textId="77777777" w:rsidR="00FF7B67" w:rsidRDefault="00FF7B67">
      <w:pPr>
        <w:spacing w:line="240" w:lineRule="auto"/>
        <w:jc w:val="both"/>
      </w:pPr>
    </w:p>
    <w:sectPr w:rsidR="00FF7B6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766F" w14:textId="77777777" w:rsidR="00000000" w:rsidRDefault="00EC3CD1">
      <w:pPr>
        <w:spacing w:line="240" w:lineRule="auto"/>
      </w:pPr>
      <w:r>
        <w:separator/>
      </w:r>
    </w:p>
  </w:endnote>
  <w:endnote w:type="continuationSeparator" w:id="0">
    <w:p w14:paraId="3D3594D3" w14:textId="77777777" w:rsidR="00000000" w:rsidRDefault="00EC3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280E" w14:textId="77777777" w:rsidR="00000000" w:rsidRDefault="00EC3CD1">
      <w:pPr>
        <w:spacing w:line="240" w:lineRule="auto"/>
      </w:pPr>
      <w:r>
        <w:separator/>
      </w:r>
    </w:p>
  </w:footnote>
  <w:footnote w:type="continuationSeparator" w:id="0">
    <w:p w14:paraId="785705EA" w14:textId="77777777" w:rsidR="00000000" w:rsidRDefault="00EC3CD1">
      <w:pPr>
        <w:spacing w:line="240" w:lineRule="auto"/>
      </w:pPr>
      <w:r>
        <w:continuationSeparator/>
      </w:r>
    </w:p>
  </w:footnote>
  <w:footnote w:id="1">
    <w:p w14:paraId="70BE51DE" w14:textId="77777777" w:rsidR="00FF7B67" w:rsidRDefault="00EC3CD1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Štúdia Inštitútu pre verejné otázky </w:t>
      </w:r>
      <w:hyperlink r:id="rId1">
        <w:r>
          <w:rPr>
            <w:color w:val="1155CC"/>
            <w:sz w:val="16"/>
            <w:szCs w:val="16"/>
            <w:u w:val="single"/>
          </w:rPr>
          <w:t>Digitálna gramotnosť na Slovensku 2020</w:t>
        </w:r>
      </w:hyperlink>
      <w:r>
        <w:rPr>
          <w:sz w:val="16"/>
          <w:szCs w:val="16"/>
        </w:rPr>
        <w:t>, IVO 2020</w:t>
      </w:r>
    </w:p>
  </w:footnote>
  <w:footnote w:id="2">
    <w:p w14:paraId="5057B24D" w14:textId="77777777" w:rsidR="00FF7B67" w:rsidRDefault="00EC3CD1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Štúdia</w:t>
      </w:r>
      <w:r>
        <w:rPr>
          <w:sz w:val="16"/>
          <w:szCs w:val="16"/>
        </w:rPr>
        <w:t xml:space="preserve"> Inštitútu pre verejné otázky </w:t>
      </w:r>
      <w:hyperlink r:id="rId2">
        <w:r>
          <w:rPr>
            <w:color w:val="1155CC"/>
            <w:sz w:val="16"/>
            <w:szCs w:val="16"/>
            <w:u w:val="single"/>
          </w:rPr>
          <w:t>Digitálna gramotnosť na Slovensku 2020</w:t>
        </w:r>
      </w:hyperlink>
      <w:r>
        <w:rPr>
          <w:sz w:val="16"/>
          <w:szCs w:val="16"/>
        </w:rPr>
        <w:t>, IVO 2020</w:t>
      </w:r>
    </w:p>
  </w:footnote>
  <w:footnote w:id="3">
    <w:p w14:paraId="4F60092A" w14:textId="77777777" w:rsidR="00FF7B67" w:rsidRDefault="00EC3C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">
        <w:r>
          <w:rPr>
            <w:color w:val="0000FF"/>
            <w:sz w:val="16"/>
            <w:szCs w:val="16"/>
            <w:u w:val="single"/>
          </w:rPr>
          <w:t>Správa o stave a úrovni v</w:t>
        </w:r>
        <w:r>
          <w:rPr>
            <w:color w:val="0000FF"/>
            <w:sz w:val="16"/>
            <w:szCs w:val="16"/>
            <w:u w:val="single"/>
          </w:rPr>
          <w:t>ýchovy a vzdelávania v školách a školských zariadeniach v Slovenskej republike v školskom roku 2018/2019</w:t>
        </w:r>
      </w:hyperlink>
      <w:r>
        <w:rPr>
          <w:color w:val="000000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67"/>
    <w:rsid w:val="00EC3CD1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D7FC"/>
  <w15:docId w15:val="{0DBD073C-1551-4628-8E70-12EDEB3A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o.sk/buxus/docs/publikacie/subory/Digitalna_gramotnost_2020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beinternetawesome.withgoogle.com/sk_sk/interla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vo.sk/buxus/docs/publikacie/subory/Digitalna_gramotnost_2020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siba.sk/admin/fckeditor/editor/userfiles/file/Dokumenty/velka_sprava/sprava_18_19.pdf" TargetMode="External"/><Relationship Id="rId2" Type="http://schemas.openxmlformats.org/officeDocument/2006/relationships/hyperlink" Target="http://www.ivo.sk/buxus/docs/publikacie/subory/Digitalna_gramotnost_2020.pdf" TargetMode="External"/><Relationship Id="rId1" Type="http://schemas.openxmlformats.org/officeDocument/2006/relationships/hyperlink" Target="http://www.ivo.sk/buxus/docs/publikacie/subory/Digitalna_gramotnost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Dasa Paulickova</cp:lastModifiedBy>
  <cp:revision>2</cp:revision>
  <dcterms:created xsi:type="dcterms:W3CDTF">2020-11-24T14:10:00Z</dcterms:created>
  <dcterms:modified xsi:type="dcterms:W3CDTF">2020-11-24T14:13:00Z</dcterms:modified>
</cp:coreProperties>
</file>