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0C677D" w:rsidRDefault="00657368">
      <w:pPr>
        <w:spacing w:before="240" w:after="24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Medzinárodne etablovaný </w:t>
      </w:r>
      <w:proofErr w:type="spellStart"/>
      <w:r>
        <w:rPr>
          <w:b/>
          <w:sz w:val="36"/>
          <w:szCs w:val="36"/>
        </w:rPr>
        <w:t>Khan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Academy</w:t>
      </w:r>
      <w:proofErr w:type="spellEnd"/>
      <w:r>
        <w:rPr>
          <w:b/>
          <w:sz w:val="36"/>
          <w:szCs w:val="36"/>
        </w:rPr>
        <w:t xml:space="preserve"> bude dostupný aj v slovenčine</w:t>
      </w:r>
    </w:p>
    <w:p w14:paraId="00000003" w14:textId="092191E8" w:rsidR="000C677D" w:rsidRDefault="00657368">
      <w:pPr>
        <w:spacing w:before="240" w:after="240"/>
        <w:rPr>
          <w:b/>
          <w:sz w:val="24"/>
          <w:szCs w:val="24"/>
        </w:rPr>
      </w:pPr>
      <w:r>
        <w:rPr>
          <w:b/>
          <w:sz w:val="24"/>
          <w:szCs w:val="24"/>
        </w:rPr>
        <w:t>Jeden z najvýznamnejších priekopníkov novej generácie online vzdelávania bude onedlho prístu</w:t>
      </w:r>
      <w:r w:rsidR="000A2A2A">
        <w:rPr>
          <w:b/>
          <w:sz w:val="24"/>
          <w:szCs w:val="24"/>
        </w:rPr>
        <w:t xml:space="preserve">pný aj slovenským žiakom. </w:t>
      </w:r>
      <w:proofErr w:type="spellStart"/>
      <w:r w:rsidR="000A2A2A">
        <w:rPr>
          <w:b/>
          <w:sz w:val="24"/>
          <w:szCs w:val="24"/>
        </w:rPr>
        <w:t>Khan</w:t>
      </w:r>
      <w:proofErr w:type="spellEnd"/>
      <w:r w:rsidR="000A2A2A">
        <w:rPr>
          <w:b/>
          <w:sz w:val="24"/>
          <w:szCs w:val="24"/>
        </w:rPr>
        <w:t xml:space="preserve"> </w:t>
      </w:r>
      <w:proofErr w:type="spellStart"/>
      <w:r w:rsidR="000A2A2A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>cademy</w:t>
      </w:r>
      <w:proofErr w:type="spellEnd"/>
      <w:r>
        <w:rPr>
          <w:b/>
          <w:sz w:val="24"/>
          <w:szCs w:val="24"/>
        </w:rPr>
        <w:t xml:space="preserve"> je vzdelávací portál, ktorý si vo svete získal milióny fanúšikov. Jeho pozitívny dopad na matematické zručnosti žiakov potvrd</w:t>
      </w:r>
      <w:r>
        <w:rPr>
          <w:b/>
          <w:sz w:val="24"/>
          <w:szCs w:val="24"/>
        </w:rPr>
        <w:t xml:space="preserve">ili aj výskumy. Finančnú podporu na preklad videí do slovenčiny schválil na konci minulého roka minister školstva Branislav </w:t>
      </w:r>
      <w:proofErr w:type="spellStart"/>
      <w:r>
        <w:rPr>
          <w:b/>
          <w:sz w:val="24"/>
          <w:szCs w:val="24"/>
        </w:rPr>
        <w:t>Gröhling</w:t>
      </w:r>
      <w:proofErr w:type="spellEnd"/>
      <w:r>
        <w:rPr>
          <w:b/>
          <w:sz w:val="24"/>
          <w:szCs w:val="24"/>
        </w:rPr>
        <w:t>.</w:t>
      </w:r>
    </w:p>
    <w:p w14:paraId="00000005" w14:textId="2C88D400" w:rsidR="000C677D" w:rsidRDefault="00657368">
      <w:pPr>
        <w:spacing w:before="240" w:after="240"/>
        <w:rPr>
          <w:sz w:val="24"/>
          <w:szCs w:val="24"/>
        </w:rPr>
      </w:pPr>
      <w:r>
        <w:rPr>
          <w:i/>
          <w:sz w:val="24"/>
          <w:szCs w:val="24"/>
        </w:rPr>
        <w:t>„Sme veľmi radi, že sa nám podarilo získať dotáciu na 600 videí od ministerstva školstva. Začíname lokalizáciou matemati</w:t>
      </w:r>
      <w:r>
        <w:rPr>
          <w:i/>
          <w:sz w:val="24"/>
          <w:szCs w:val="24"/>
        </w:rPr>
        <w:t>ky a kurzov osobného rozvoja, tiež aj v oblasti kariéry a financií,“</w:t>
      </w:r>
      <w:r>
        <w:rPr>
          <w:sz w:val="24"/>
          <w:szCs w:val="24"/>
        </w:rPr>
        <w:t xml:space="preserve"> hovorí </w:t>
      </w:r>
      <w:r>
        <w:rPr>
          <w:b/>
          <w:sz w:val="24"/>
          <w:szCs w:val="24"/>
        </w:rPr>
        <w:t xml:space="preserve">Peter </w:t>
      </w:r>
      <w:proofErr w:type="spellStart"/>
      <w:r>
        <w:rPr>
          <w:b/>
          <w:sz w:val="24"/>
          <w:szCs w:val="24"/>
        </w:rPr>
        <w:t>Rášo</w:t>
      </w:r>
      <w:proofErr w:type="spellEnd"/>
      <w:r>
        <w:rPr>
          <w:sz w:val="24"/>
          <w:szCs w:val="24"/>
        </w:rPr>
        <w:t xml:space="preserve">, ambasádor </w:t>
      </w:r>
      <w:proofErr w:type="spellStart"/>
      <w:r>
        <w:rPr>
          <w:sz w:val="24"/>
          <w:szCs w:val="24"/>
        </w:rPr>
        <w:t>Teach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For</w:t>
      </w:r>
      <w:proofErr w:type="spellEnd"/>
      <w:r>
        <w:rPr>
          <w:sz w:val="24"/>
          <w:szCs w:val="24"/>
        </w:rPr>
        <w:t xml:space="preserve"> Slovakia, ktorý zastrešuje projekt lokalizácie </w:t>
      </w:r>
      <w:proofErr w:type="spellStart"/>
      <w:r>
        <w:rPr>
          <w:sz w:val="24"/>
          <w:szCs w:val="24"/>
        </w:rPr>
        <w:t>Khanovej</w:t>
      </w:r>
      <w:proofErr w:type="spellEnd"/>
      <w:r>
        <w:rPr>
          <w:sz w:val="24"/>
          <w:szCs w:val="24"/>
        </w:rPr>
        <w:t xml:space="preserve"> školy pre slovenských žiakov v spolupráci s Inštitútom pre podporu a rozvoj mládeže V.I.A.C.</w:t>
      </w:r>
    </w:p>
    <w:p w14:paraId="1839E004" w14:textId="42D0735C" w:rsidR="000A2A2A" w:rsidRDefault="000A2A2A">
      <w:pPr>
        <w:spacing w:before="240" w:after="240"/>
        <w:rPr>
          <w:sz w:val="24"/>
          <w:szCs w:val="24"/>
        </w:rPr>
      </w:pPr>
      <w:r w:rsidRPr="000A2A2A">
        <w:rPr>
          <w:sz w:val="24"/>
          <w:szCs w:val="24"/>
        </w:rPr>
        <w:t xml:space="preserve">Realizáciu projektu vedie </w:t>
      </w:r>
      <w:r w:rsidRPr="000A2A2A">
        <w:rPr>
          <w:b/>
          <w:sz w:val="24"/>
          <w:szCs w:val="24"/>
        </w:rPr>
        <w:t xml:space="preserve">Peter </w:t>
      </w:r>
      <w:proofErr w:type="spellStart"/>
      <w:r w:rsidRPr="000A2A2A">
        <w:rPr>
          <w:b/>
          <w:sz w:val="24"/>
          <w:szCs w:val="24"/>
        </w:rPr>
        <w:t>Rášo</w:t>
      </w:r>
      <w:proofErr w:type="spellEnd"/>
      <w:r w:rsidRPr="000A2A2A">
        <w:rPr>
          <w:sz w:val="24"/>
          <w:szCs w:val="24"/>
        </w:rPr>
        <w:t xml:space="preserve">, ambasádor </w:t>
      </w:r>
      <w:proofErr w:type="spellStart"/>
      <w:r w:rsidRPr="000A2A2A">
        <w:rPr>
          <w:sz w:val="24"/>
          <w:szCs w:val="24"/>
        </w:rPr>
        <w:t>Teach</w:t>
      </w:r>
      <w:proofErr w:type="spellEnd"/>
      <w:r w:rsidRPr="000A2A2A">
        <w:rPr>
          <w:sz w:val="24"/>
          <w:szCs w:val="24"/>
        </w:rPr>
        <w:t xml:space="preserve"> </w:t>
      </w:r>
      <w:proofErr w:type="spellStart"/>
      <w:r w:rsidRPr="000A2A2A">
        <w:rPr>
          <w:sz w:val="24"/>
          <w:szCs w:val="24"/>
        </w:rPr>
        <w:t>For</w:t>
      </w:r>
      <w:proofErr w:type="spellEnd"/>
      <w:r w:rsidRPr="000A2A2A">
        <w:rPr>
          <w:sz w:val="24"/>
          <w:szCs w:val="24"/>
        </w:rPr>
        <w:t xml:space="preserve"> Slovakia v spolupráci s Inštitútom pre podporu a rozvoj mládeže V.I.A.C.</w:t>
      </w:r>
    </w:p>
    <w:p w14:paraId="00000006" w14:textId="77777777" w:rsidR="000C677D" w:rsidRDefault="00657368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Pre slovenských žiakov môžu videá znamenať veľký posun vpred. Sú totiž dostupné online, bezplatne a pre všetkých. Doteraz však chýbal slovenský preklad, ktorý by ich sprístupnil aj tým, ktorí nerozumejú </w:t>
      </w:r>
      <w:proofErr w:type="spellStart"/>
      <w:r>
        <w:rPr>
          <w:sz w:val="24"/>
          <w:szCs w:val="24"/>
        </w:rPr>
        <w:t>angličtie</w:t>
      </w:r>
      <w:proofErr w:type="spellEnd"/>
      <w:r>
        <w:rPr>
          <w:sz w:val="24"/>
          <w:szCs w:val="24"/>
        </w:rPr>
        <w:t>. Snahy o slovenskú lokalizáciu sa objavili</w:t>
      </w:r>
      <w:r>
        <w:rPr>
          <w:sz w:val="24"/>
          <w:szCs w:val="24"/>
        </w:rPr>
        <w:t xml:space="preserve"> už dávnejšie, teraz sa ich vďaka medzinárodnej spolupráci podarilo realizovať.</w:t>
      </w:r>
    </w:p>
    <w:p w14:paraId="00000007" w14:textId="77777777" w:rsidR="000C677D" w:rsidRDefault="00657368">
      <w:pPr>
        <w:spacing w:before="240" w:after="240"/>
        <w:rPr>
          <w:sz w:val="24"/>
          <w:szCs w:val="24"/>
        </w:rPr>
      </w:pPr>
      <w:r>
        <w:rPr>
          <w:i/>
          <w:sz w:val="24"/>
          <w:szCs w:val="24"/>
        </w:rPr>
        <w:t xml:space="preserve">„S nápadom na preklopenie stránky spolu s výukovými materiálmi aj do slovenského jazyka prišla česká organizácia </w:t>
      </w:r>
      <w:proofErr w:type="spellStart"/>
      <w:r>
        <w:rPr>
          <w:i/>
          <w:sz w:val="24"/>
          <w:szCs w:val="24"/>
        </w:rPr>
        <w:t>Khanova</w:t>
      </w:r>
      <w:proofErr w:type="spellEnd"/>
      <w:r>
        <w:rPr>
          <w:i/>
          <w:sz w:val="24"/>
          <w:szCs w:val="24"/>
        </w:rPr>
        <w:t xml:space="preserve"> škola. Oslovili môjho kolegu z </w:t>
      </w:r>
      <w:proofErr w:type="spellStart"/>
      <w:r>
        <w:rPr>
          <w:i/>
          <w:sz w:val="24"/>
          <w:szCs w:val="24"/>
        </w:rPr>
        <w:t>Teach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for</w:t>
      </w:r>
      <w:proofErr w:type="spellEnd"/>
      <w:r>
        <w:rPr>
          <w:i/>
          <w:sz w:val="24"/>
          <w:szCs w:val="24"/>
        </w:rPr>
        <w:t xml:space="preserve"> Slovakia Rada </w:t>
      </w:r>
      <w:r>
        <w:rPr>
          <w:i/>
          <w:sz w:val="24"/>
          <w:szCs w:val="24"/>
        </w:rPr>
        <w:t>Chalupku. Pred nástupom do programu pôsobil v Prahe na Karlovej univerzite. Rado teraz učí na škole na sídlisku Luník IX a vtiahol do toho mňa. Chceme vytvoriť videá v slovenčine, dostupné pre všetkých, všade a zadarmo. Ja ako žiak som často strácal pozorn</w:t>
      </w:r>
      <w:r>
        <w:rPr>
          <w:i/>
          <w:sz w:val="24"/>
          <w:szCs w:val="24"/>
        </w:rPr>
        <w:t xml:space="preserve">osť. Stačilo sa na chvíľu pozrieť von z okna, nezachytil som vysvetlenie a už som sa celú hodinu nezapojil, iba odpisoval z tabule. Vtedy by mi veľmi pomohlo, keby som mal možnosť si výklad ešte raz pozrieť, aby som ho lepšie pochopil. Navyše, nie každému </w:t>
      </w:r>
      <w:r>
        <w:rPr>
          <w:i/>
          <w:sz w:val="24"/>
          <w:szCs w:val="24"/>
        </w:rPr>
        <w:t>dieťaťu môže pomôcť rodič alebo starší súrodenec. Postupne sa rozbiehame a hľadáme podporu,“</w:t>
      </w:r>
      <w:r>
        <w:rPr>
          <w:sz w:val="24"/>
          <w:szCs w:val="24"/>
        </w:rPr>
        <w:t xml:space="preserve"> dopĺňa Peter </w:t>
      </w:r>
      <w:proofErr w:type="spellStart"/>
      <w:r>
        <w:rPr>
          <w:sz w:val="24"/>
          <w:szCs w:val="24"/>
        </w:rPr>
        <w:t>Rášo</w:t>
      </w:r>
      <w:proofErr w:type="spellEnd"/>
      <w:r>
        <w:rPr>
          <w:sz w:val="24"/>
          <w:szCs w:val="24"/>
        </w:rPr>
        <w:t>.</w:t>
      </w:r>
    </w:p>
    <w:p w14:paraId="00000008" w14:textId="77777777" w:rsidR="000C677D" w:rsidRDefault="00657368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Vzdelávací a motivačný potenciál videí </w:t>
      </w:r>
      <w:proofErr w:type="spellStart"/>
      <w:r>
        <w:rPr>
          <w:sz w:val="24"/>
          <w:szCs w:val="24"/>
        </w:rPr>
        <w:t>Khanovej</w:t>
      </w:r>
      <w:proofErr w:type="spellEnd"/>
      <w:r>
        <w:rPr>
          <w:sz w:val="24"/>
          <w:szCs w:val="24"/>
        </w:rPr>
        <w:t xml:space="preserve"> školy potvrdili viaceré</w:t>
      </w:r>
      <w:hyperlink r:id="rId6">
        <w:r>
          <w:rPr>
            <w:sz w:val="24"/>
            <w:szCs w:val="24"/>
          </w:rPr>
          <w:t xml:space="preserve"> </w:t>
        </w:r>
      </w:hyperlink>
      <w:hyperlink r:id="rId7">
        <w:r>
          <w:rPr>
            <w:color w:val="1155CC"/>
            <w:sz w:val="24"/>
            <w:szCs w:val="24"/>
            <w:u w:val="single"/>
          </w:rPr>
          <w:t>výskumy</w:t>
        </w:r>
      </w:hyperlink>
      <w:r>
        <w:rPr>
          <w:sz w:val="24"/>
          <w:szCs w:val="24"/>
        </w:rPr>
        <w:t xml:space="preserve">, ktorých sa zúčastnili učitelia aj žiaci. Používanie matematických výkladových videí </w:t>
      </w:r>
      <w:proofErr w:type="spellStart"/>
      <w:r>
        <w:rPr>
          <w:sz w:val="24"/>
          <w:szCs w:val="24"/>
        </w:rPr>
        <w:t>Khanovej</w:t>
      </w:r>
      <w:proofErr w:type="spellEnd"/>
      <w:r>
        <w:rPr>
          <w:sz w:val="24"/>
          <w:szCs w:val="24"/>
        </w:rPr>
        <w:t xml:space="preserve"> školy </w:t>
      </w:r>
      <w:r>
        <w:rPr>
          <w:sz w:val="24"/>
          <w:szCs w:val="24"/>
        </w:rPr>
        <w:t>počas vyučovania v kombinácii s cvičeniami zlepšilo výsledky žiakov v testovaní, pomohlo žiakom odbúrať stres z matematiky a zvýšilo ich sebadôveru pri riešení matematických úloh.</w:t>
      </w:r>
    </w:p>
    <w:p w14:paraId="00000009" w14:textId="77777777" w:rsidR="000C677D" w:rsidRDefault="00657368">
      <w:pPr>
        <w:spacing w:before="240" w:after="240"/>
      </w:pPr>
      <w:r>
        <w:lastRenderedPageBreak/>
        <w:t xml:space="preserve"> </w:t>
      </w:r>
    </w:p>
    <w:p w14:paraId="0000000A" w14:textId="77777777" w:rsidR="000C677D" w:rsidRDefault="00657368">
      <w:pPr>
        <w:spacing w:before="240" w:after="240"/>
        <w:rPr>
          <w:b/>
        </w:rPr>
      </w:pPr>
      <w:r>
        <w:rPr>
          <w:b/>
        </w:rPr>
        <w:t xml:space="preserve">Viac o </w:t>
      </w:r>
      <w:proofErr w:type="spellStart"/>
      <w:r>
        <w:rPr>
          <w:b/>
        </w:rPr>
        <w:t>Khan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Academy</w:t>
      </w:r>
      <w:proofErr w:type="spellEnd"/>
    </w:p>
    <w:p w14:paraId="0000000B" w14:textId="4935A194" w:rsidR="000C677D" w:rsidRDefault="00657368">
      <w:pPr>
        <w:spacing w:before="240" w:after="240"/>
        <w:jc w:val="both"/>
      </w:pPr>
      <w:r>
        <w:t xml:space="preserve">Nezisková organizácia </w:t>
      </w:r>
      <w:proofErr w:type="spellStart"/>
      <w:r>
        <w:t>Khan</w:t>
      </w:r>
      <w:proofErr w:type="spellEnd"/>
      <w:r>
        <w:t xml:space="preserve"> </w:t>
      </w:r>
      <w:proofErr w:type="spellStart"/>
      <w:r>
        <w:t>Academy</w:t>
      </w:r>
      <w:proofErr w:type="spellEnd"/>
      <w:r>
        <w:t xml:space="preserve"> vznikla v roku 2008</w:t>
      </w:r>
      <w:r>
        <w:t xml:space="preserve">. Založil ju Američan </w:t>
      </w:r>
      <w:proofErr w:type="spellStart"/>
      <w:r>
        <w:t>Salmanom</w:t>
      </w:r>
      <w:proofErr w:type="spellEnd"/>
      <w:r>
        <w:t xml:space="preserve"> </w:t>
      </w:r>
      <w:proofErr w:type="spellStart"/>
      <w:r>
        <w:t>Khan</w:t>
      </w:r>
      <w:proofErr w:type="spellEnd"/>
      <w:r>
        <w:t xml:space="preserve">, absolvent </w:t>
      </w:r>
      <w:proofErr w:type="spellStart"/>
      <w:r>
        <w:t>Massachusettskej</w:t>
      </w:r>
      <w:proofErr w:type="spellEnd"/>
      <w:r>
        <w:t xml:space="preserve"> technická univerzita a </w:t>
      </w:r>
      <w:proofErr w:type="spellStart"/>
      <w:r>
        <w:t>Harvardu</w:t>
      </w:r>
      <w:proofErr w:type="spellEnd"/>
      <w:r>
        <w:t xml:space="preserve">. V roku 2005 pracoval </w:t>
      </w:r>
      <w:proofErr w:type="spellStart"/>
      <w:r>
        <w:t>Salmanom</w:t>
      </w:r>
      <w:proofErr w:type="spellEnd"/>
      <w:r>
        <w:t xml:space="preserve"> ako finančný analytik a chcel pomôcť svojej neteri s matematikou. Bývala v inom meste, svoj výklad jej preto nahral na video a do</w:t>
      </w:r>
      <w:r>
        <w:t xml:space="preserve">plnil jednoduchými animáciami. Keďže si jeho videá chceli pozrieť aj ďalší z rodiny, začal ich nahrávať na </w:t>
      </w:r>
      <w:proofErr w:type="spellStart"/>
      <w:r>
        <w:t>Youtube</w:t>
      </w:r>
      <w:proofErr w:type="spellEnd"/>
      <w:r>
        <w:t xml:space="preserve">. Po čase si všimol, že tam majú oveľa viac pozretí, ako by si dokázali kliknúť jeho synovci a neter. Dnes </w:t>
      </w:r>
      <w:proofErr w:type="spellStart"/>
      <w:r>
        <w:t>Khan</w:t>
      </w:r>
      <w:proofErr w:type="spellEnd"/>
      <w:r>
        <w:t xml:space="preserve"> </w:t>
      </w:r>
      <w:proofErr w:type="spellStart"/>
      <w:r>
        <w:t>Academy</w:t>
      </w:r>
      <w:proofErr w:type="spellEnd"/>
      <w:r>
        <w:t xml:space="preserve"> ponúka viac ako 5000 v</w:t>
      </w:r>
      <w:r>
        <w:t>ideí, z ktoré sa sústredia nielen na matematiku, ale aj prírodné</w:t>
      </w:r>
      <w:bookmarkStart w:id="0" w:name="_GoBack"/>
      <w:bookmarkEnd w:id="0"/>
      <w:r>
        <w:t xml:space="preserve"> a humanitné vedy, finančné plánovanie alebo emočnú inteligenciu. Organizácia zamestnáva 200 odborníkov, ktorí pracujú na kvalite a faktickej správnosti výkladov. </w:t>
      </w:r>
    </w:p>
    <w:p w14:paraId="29848D13" w14:textId="1ED1BDCF" w:rsidR="00A57F1B" w:rsidRDefault="00A57F1B">
      <w:pPr>
        <w:spacing w:before="240" w:after="24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6B6C76" wp14:editId="32885F28">
                <wp:simplePos x="0" y="0"/>
                <wp:positionH relativeFrom="column">
                  <wp:posOffset>19050</wp:posOffset>
                </wp:positionH>
                <wp:positionV relativeFrom="paragraph">
                  <wp:posOffset>99060</wp:posOffset>
                </wp:positionV>
                <wp:extent cx="5753100" cy="0"/>
                <wp:effectExtent l="38100" t="38100" r="76200" b="95250"/>
                <wp:wrapNone/>
                <wp:docPr id="24" name="Rovná spojnica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31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77DE8B5" id="Rovná spojnica 2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7.8pt" to="454.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14:paraId="6880D737" w14:textId="117BC6C5" w:rsidR="00A57F1B" w:rsidRDefault="00A57F1B">
      <w:pPr>
        <w:spacing w:before="240" w:after="240"/>
        <w:jc w:val="both"/>
      </w:pPr>
      <w:r>
        <w:t>Kontakt pre médiá: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0"/>
      </w:tblGrid>
      <w:tr w:rsidR="00A57F1B" w:rsidRPr="00A57F1B" w14:paraId="62BC912E" w14:textId="77777777" w:rsidTr="00A57F1B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4FE818A" w14:textId="77777777" w:rsidR="00A57F1B" w:rsidRPr="00A57F1B" w:rsidRDefault="00A57F1B" w:rsidP="00A57F1B">
            <w:pPr>
              <w:spacing w:line="240" w:lineRule="auto"/>
              <w:rPr>
                <w:rFonts w:eastAsia="Times New Roman"/>
                <w:b/>
                <w:bCs/>
                <w:color w:val="3D3C3F"/>
                <w:sz w:val="20"/>
                <w:szCs w:val="20"/>
              </w:rPr>
            </w:pPr>
            <w:r w:rsidRPr="00A57F1B">
              <w:rPr>
                <w:rFonts w:eastAsia="Times New Roman"/>
                <w:b/>
                <w:bCs/>
                <w:color w:val="3C3C3B"/>
                <w:sz w:val="20"/>
                <w:szCs w:val="20"/>
              </w:rPr>
              <w:t xml:space="preserve">Veronika Pavlíková </w:t>
            </w:r>
            <w:proofErr w:type="spellStart"/>
            <w:r w:rsidRPr="00A57F1B">
              <w:rPr>
                <w:rFonts w:eastAsia="Times New Roman"/>
                <w:b/>
                <w:bCs/>
                <w:color w:val="3C3C3B"/>
                <w:sz w:val="20"/>
                <w:szCs w:val="20"/>
              </w:rPr>
              <w:t>Klindová</w:t>
            </w:r>
            <w:proofErr w:type="spellEnd"/>
          </w:p>
        </w:tc>
      </w:tr>
      <w:tr w:rsidR="00A57F1B" w:rsidRPr="00A57F1B" w14:paraId="4B5D94BD" w14:textId="77777777" w:rsidTr="00A57F1B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71A69E6" w14:textId="77777777" w:rsidR="00A57F1B" w:rsidRPr="00A57F1B" w:rsidRDefault="00A57F1B" w:rsidP="00A57F1B">
            <w:pPr>
              <w:spacing w:line="240" w:lineRule="auto"/>
              <w:rPr>
                <w:rFonts w:eastAsia="Times New Roman"/>
                <w:b/>
                <w:bCs/>
                <w:color w:val="3D3C3F"/>
                <w:sz w:val="20"/>
                <w:szCs w:val="20"/>
              </w:rPr>
            </w:pPr>
            <w:proofErr w:type="spellStart"/>
            <w:r w:rsidRPr="00A57F1B">
              <w:rPr>
                <w:rFonts w:eastAsia="Times New Roman"/>
                <w:b/>
                <w:bCs/>
                <w:color w:val="3C3C3B"/>
                <w:sz w:val="20"/>
                <w:szCs w:val="20"/>
              </w:rPr>
              <w:t>Communication</w:t>
            </w:r>
            <w:proofErr w:type="spellEnd"/>
            <w:r w:rsidRPr="00A57F1B">
              <w:rPr>
                <w:rFonts w:eastAsia="Times New Roman"/>
                <w:b/>
                <w:bCs/>
                <w:color w:val="3C3C3B"/>
                <w:sz w:val="20"/>
                <w:szCs w:val="20"/>
              </w:rPr>
              <w:t xml:space="preserve"> &amp; Marketing Manager</w:t>
            </w:r>
          </w:p>
        </w:tc>
      </w:tr>
      <w:tr w:rsidR="00A57F1B" w:rsidRPr="00A57F1B" w14:paraId="465F98E5" w14:textId="77777777" w:rsidTr="00A57F1B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14:paraId="601FFDFC" w14:textId="77777777" w:rsidR="00A57F1B" w:rsidRPr="00A57F1B" w:rsidRDefault="00A57F1B" w:rsidP="00A57F1B">
            <w:pPr>
              <w:spacing w:line="240" w:lineRule="auto"/>
              <w:rPr>
                <w:rFonts w:eastAsia="Times New Roman"/>
                <w:color w:val="9B9B9B"/>
                <w:sz w:val="18"/>
                <w:szCs w:val="18"/>
              </w:rPr>
            </w:pPr>
            <w:r w:rsidRPr="00A57F1B">
              <w:rPr>
                <w:rFonts w:eastAsia="Times New Roman"/>
                <w:b/>
                <w:bCs/>
                <w:color w:val="3C3C3B"/>
                <w:sz w:val="18"/>
                <w:szCs w:val="18"/>
              </w:rPr>
              <w:t>M: </w:t>
            </w:r>
            <w:r w:rsidRPr="00A57F1B">
              <w:rPr>
                <w:rFonts w:eastAsia="Times New Roman"/>
                <w:color w:val="3C3C3B"/>
                <w:sz w:val="18"/>
                <w:szCs w:val="18"/>
              </w:rPr>
              <w:t>0948519112</w:t>
            </w:r>
          </w:p>
        </w:tc>
      </w:tr>
      <w:tr w:rsidR="00A57F1B" w:rsidRPr="00A57F1B" w14:paraId="35D95299" w14:textId="77777777" w:rsidTr="00A57F1B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14:paraId="5C7955B1" w14:textId="77777777" w:rsidR="00A57F1B" w:rsidRPr="00A57F1B" w:rsidRDefault="00A57F1B" w:rsidP="00A57F1B">
            <w:pPr>
              <w:spacing w:line="240" w:lineRule="auto"/>
              <w:rPr>
                <w:rFonts w:eastAsia="Times New Roman"/>
                <w:color w:val="9B9B9B"/>
                <w:sz w:val="18"/>
                <w:szCs w:val="18"/>
              </w:rPr>
            </w:pPr>
            <w:r w:rsidRPr="00A57F1B">
              <w:rPr>
                <w:rFonts w:eastAsia="Times New Roman"/>
                <w:b/>
                <w:bCs/>
                <w:color w:val="3C3C3B"/>
                <w:sz w:val="18"/>
                <w:szCs w:val="18"/>
              </w:rPr>
              <w:t>E: </w:t>
            </w:r>
            <w:hyperlink r:id="rId8" w:tgtFrame="_blank" w:history="1">
              <w:r w:rsidRPr="00A57F1B">
                <w:rPr>
                  <w:rFonts w:eastAsia="Times New Roman"/>
                  <w:color w:val="1155CC"/>
                  <w:sz w:val="18"/>
                  <w:szCs w:val="18"/>
                  <w:u w:val="single"/>
                </w:rPr>
                <w:t>veronika.klindova@teachforslovakia.sk</w:t>
              </w:r>
            </w:hyperlink>
          </w:p>
        </w:tc>
      </w:tr>
      <w:tr w:rsidR="00A57F1B" w:rsidRPr="00A57F1B" w14:paraId="2E72A6AA" w14:textId="77777777" w:rsidTr="00A57F1B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14:paraId="6D42959D" w14:textId="77777777" w:rsidR="00A57F1B" w:rsidRPr="00A57F1B" w:rsidRDefault="00A57F1B" w:rsidP="00A57F1B">
            <w:pPr>
              <w:spacing w:line="240" w:lineRule="auto"/>
              <w:rPr>
                <w:rFonts w:eastAsia="Times New Roman"/>
                <w:color w:val="9B9B9B"/>
                <w:sz w:val="18"/>
                <w:szCs w:val="18"/>
              </w:rPr>
            </w:pPr>
            <w:r w:rsidRPr="00A57F1B">
              <w:rPr>
                <w:rFonts w:eastAsia="Times New Roman"/>
                <w:color w:val="3C3C3B"/>
                <w:sz w:val="18"/>
                <w:szCs w:val="18"/>
              </w:rPr>
              <w:t>Štúrova 3, Bratislava</w:t>
            </w:r>
            <w:r w:rsidRPr="00A57F1B">
              <w:rPr>
                <w:rFonts w:eastAsia="Times New Roman"/>
                <w:color w:val="9B9B9B"/>
                <w:sz w:val="18"/>
                <w:szCs w:val="18"/>
              </w:rPr>
              <w:t> | </w:t>
            </w:r>
            <w:hyperlink r:id="rId9" w:tgtFrame="_blank" w:history="1">
              <w:r w:rsidRPr="00A57F1B">
                <w:rPr>
                  <w:rFonts w:eastAsia="Times New Roman"/>
                  <w:color w:val="0F4E84"/>
                  <w:sz w:val="18"/>
                  <w:szCs w:val="18"/>
                  <w:u w:val="single"/>
                </w:rPr>
                <w:t>teachforslovakia.sk</w:t>
              </w:r>
            </w:hyperlink>
          </w:p>
        </w:tc>
      </w:tr>
    </w:tbl>
    <w:p w14:paraId="54853D5F" w14:textId="77777777" w:rsidR="00A57F1B" w:rsidRDefault="00A57F1B">
      <w:pPr>
        <w:spacing w:before="240" w:after="240"/>
        <w:jc w:val="both"/>
      </w:pPr>
    </w:p>
    <w:p w14:paraId="0000000C" w14:textId="77777777" w:rsidR="000C677D" w:rsidRDefault="000C677D"/>
    <w:sectPr w:rsidR="000C677D" w:rsidSect="00A57F1B">
      <w:headerReference w:type="default" r:id="rId10"/>
      <w:pgSz w:w="11909" w:h="16834"/>
      <w:pgMar w:top="1440" w:right="1440" w:bottom="1276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22C0E8" w14:textId="77777777" w:rsidR="00657368" w:rsidRDefault="00657368" w:rsidP="000A2A2A">
      <w:pPr>
        <w:spacing w:line="240" w:lineRule="auto"/>
      </w:pPr>
      <w:r>
        <w:separator/>
      </w:r>
    </w:p>
  </w:endnote>
  <w:endnote w:type="continuationSeparator" w:id="0">
    <w:p w14:paraId="38A3D3E2" w14:textId="77777777" w:rsidR="00657368" w:rsidRDefault="00657368" w:rsidP="000A2A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46C815" w14:textId="77777777" w:rsidR="00657368" w:rsidRDefault="00657368" w:rsidP="000A2A2A">
      <w:pPr>
        <w:spacing w:line="240" w:lineRule="auto"/>
      </w:pPr>
      <w:r>
        <w:separator/>
      </w:r>
    </w:p>
  </w:footnote>
  <w:footnote w:type="continuationSeparator" w:id="0">
    <w:p w14:paraId="2F3D4CB3" w14:textId="77777777" w:rsidR="00657368" w:rsidRDefault="00657368" w:rsidP="000A2A2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7F4AB6" w14:textId="5EAECD3F" w:rsidR="000A2A2A" w:rsidRDefault="000A2A2A">
    <w:pPr>
      <w:pStyle w:val="Hlavika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1E18C40" wp14:editId="15DBE48D">
          <wp:simplePos x="0" y="0"/>
          <wp:positionH relativeFrom="column">
            <wp:posOffset>3829050</wp:posOffset>
          </wp:positionH>
          <wp:positionV relativeFrom="paragraph">
            <wp:posOffset>-133350</wp:posOffset>
          </wp:positionV>
          <wp:extent cx="1895475" cy="1084466"/>
          <wp:effectExtent l="0" t="0" r="0" b="1905"/>
          <wp:wrapNone/>
          <wp:docPr id="23" name="Obrázok 23" descr="C:\Users\HP\Downloads\stiahnuť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HP\Downloads\stiahnuť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6652" cy="10851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ict w14:anchorId="76EFB2A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116" type="#_x0000_t75" style="width:214.5pt;height:78.75pt">
          <v:imagedata r:id="rId2" o:title="bez pozadia-01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77D"/>
    <w:rsid w:val="000A2A2A"/>
    <w:rsid w:val="000C677D"/>
    <w:rsid w:val="00657368"/>
    <w:rsid w:val="00A57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C70196"/>
  <w15:docId w15:val="{CE8CE24E-C686-4601-B460-59A59EE7C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</w:style>
  <w:style w:type="paragraph" w:styleId="Nadpis1">
    <w:name w:val="heading 1"/>
    <w:basedOn w:val="Normlny"/>
    <w:next w:val="Norm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y"/>
    <w:next w:val="Norm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y"/>
    <w:next w:val="Norm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y"/>
    <w:next w:val="Normlny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y"/>
    <w:next w:val="Norm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y"/>
    <w:next w:val="Normlny"/>
    <w:pPr>
      <w:keepNext/>
      <w:keepLines/>
      <w:spacing w:after="320"/>
    </w:pPr>
    <w:rPr>
      <w:color w:val="666666"/>
      <w:sz w:val="30"/>
      <w:szCs w:val="30"/>
    </w:rPr>
  </w:style>
  <w:style w:type="paragraph" w:styleId="Hlavika">
    <w:name w:val="header"/>
    <w:basedOn w:val="Normlny"/>
    <w:link w:val="HlavikaChar"/>
    <w:uiPriority w:val="99"/>
    <w:unhideWhenUsed/>
    <w:rsid w:val="000A2A2A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2A2A"/>
  </w:style>
  <w:style w:type="paragraph" w:styleId="Pta">
    <w:name w:val="footer"/>
    <w:basedOn w:val="Normlny"/>
    <w:link w:val="PtaChar"/>
    <w:uiPriority w:val="99"/>
    <w:unhideWhenUsed/>
    <w:rsid w:val="000A2A2A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2A2A"/>
  </w:style>
  <w:style w:type="character" w:styleId="Hypertextovprepojenie">
    <w:name w:val="Hyperlink"/>
    <w:basedOn w:val="Predvolenpsmoodseku"/>
    <w:uiPriority w:val="99"/>
    <w:semiHidden/>
    <w:unhideWhenUsed/>
    <w:rsid w:val="00A57F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01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onika.klindova@teachforslovakia.s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3.amazonaws.com/KA-share/impact/khan-academy-implementation-report-2014-04-15.pd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3.amazonaws.com/KA-share/impact/khan-academy-implementation-report-2014-04-15.pdf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teachforslovakia.sk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Veronika Klindova</cp:lastModifiedBy>
  <cp:revision>2</cp:revision>
  <dcterms:created xsi:type="dcterms:W3CDTF">2021-01-14T12:31:00Z</dcterms:created>
  <dcterms:modified xsi:type="dcterms:W3CDTF">2021-01-14T12:31:00Z</dcterms:modified>
</cp:coreProperties>
</file>